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A72A5" w14:textId="5CE3F223" w:rsidR="009B4ADA" w:rsidRPr="00634258" w:rsidRDefault="00A9346F">
      <w:pPr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 xml:space="preserve">Vypořádání připomínek k výkonu </w:t>
      </w:r>
      <w:r w:rsidRPr="00634258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STANOVENÍ POCT ANTIGENU HELICOBACTER PYLORI VE STOLICI V AMBULANCI GASTROENTEROLOGA</w:t>
      </w:r>
    </w:p>
    <w:p w14:paraId="78374150" w14:textId="77777777" w:rsidR="00A9346F" w:rsidRPr="00634258" w:rsidRDefault="00A9346F">
      <w:pPr>
        <w:rPr>
          <w:rFonts w:ascii="Calibri" w:hAnsi="Calibri" w:cs="Calibri"/>
          <w:sz w:val="22"/>
          <w:szCs w:val="22"/>
        </w:rPr>
      </w:pPr>
    </w:p>
    <w:p w14:paraId="579C0311" w14:textId="6DF91061" w:rsidR="00A9346F" w:rsidRPr="00634258" w:rsidRDefault="00A9346F">
      <w:pPr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>Připomínky VZP</w:t>
      </w:r>
    </w:p>
    <w:p w14:paraId="7C2CB347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V SZV již zavedeno několik výkonů: v odb. 813 a odb. 802 zaveden 91483 S</w:t>
      </w:r>
      <w:r w:rsidRPr="00634258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TANOVENÍ ANTIGENU HELICOBACTER PYLORI VE STOLICI </w:t>
      </w:r>
      <w:hyperlink r:id="rId5" w:history="1">
        <w:r w:rsidRPr="00634258">
          <w:rPr>
            <w:rFonts w:ascii="Calibri" w:eastAsia="Times New Roman" w:hAnsi="Calibri" w:cs="Calibri"/>
            <w:color w:val="156082" w:themeColor="accent1"/>
            <w:sz w:val="22"/>
            <w:szCs w:val="22"/>
            <w:lang w:eastAsia="cs-CZ"/>
          </w:rPr>
          <w:t>Detail - Zdravotní výkony</w:t>
        </w:r>
      </w:hyperlink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 776 bodů. K diagnostice se používají dechové testy (15143 </w:t>
      </w:r>
      <w:hyperlink r:id="rId6" w:history="1">
        <w:r w:rsidRPr="00634258">
          <w:rPr>
            <w:rStyle w:val="Hypertextovodkaz"/>
            <w:rFonts w:ascii="Calibri" w:hAnsi="Calibri" w:cs="Calibri"/>
            <w:sz w:val="22"/>
            <w:szCs w:val="22"/>
          </w:rPr>
          <w:t>Detail - Zdravotní výkony</w:t>
        </w:r>
      </w:hyperlink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, 81701</w:t>
      </w:r>
      <w:r w:rsidRPr="00634258">
        <w:rPr>
          <w:rFonts w:ascii="Calibri" w:hAnsi="Calibri" w:cs="Calibri"/>
          <w:sz w:val="22"/>
          <w:szCs w:val="22"/>
        </w:rPr>
        <w:t xml:space="preserve"> </w:t>
      </w:r>
      <w:hyperlink r:id="rId7" w:history="1">
        <w:r w:rsidRPr="00634258">
          <w:rPr>
            <w:rStyle w:val="Hypertextovodkaz"/>
            <w:rFonts w:ascii="Calibri" w:hAnsi="Calibri" w:cs="Calibri"/>
            <w:sz w:val="22"/>
            <w:szCs w:val="22"/>
          </w:rPr>
          <w:t>Detail - Zdravotní výkony</w:t>
        </w:r>
      </w:hyperlink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), test antigenu ve stolici(91483)</w:t>
      </w:r>
      <w:r w:rsidRPr="00634258">
        <w:rPr>
          <w:rFonts w:ascii="Calibri" w:hAnsi="Calibri" w:cs="Calibri"/>
          <w:sz w:val="22"/>
          <w:szCs w:val="22"/>
        </w:rPr>
        <w:t xml:space="preserve"> </w:t>
      </w:r>
      <w:hyperlink r:id="rId8" w:history="1">
        <w:r w:rsidRPr="00634258">
          <w:rPr>
            <w:rStyle w:val="Hypertextovodkaz"/>
            <w:rFonts w:ascii="Calibri" w:hAnsi="Calibri" w:cs="Calibri"/>
            <w:sz w:val="22"/>
            <w:szCs w:val="22"/>
          </w:rPr>
          <w:t>Detail - Zdravotní výkony</w:t>
        </w:r>
      </w:hyperlink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 ev.  histologie, rychlý ureázový test a molekulární metody, které mají i význam při vyšetření rezistence H. pylori na antibiotika.→ </w:t>
      </w:r>
    </w:p>
    <w:p w14:paraId="4C88B14E" w14:textId="77777777" w:rsidR="004E68F3" w:rsidRDefault="004E68F3" w:rsidP="009A1820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450AA926" w14:textId="12FC152F" w:rsidR="009A1820" w:rsidRPr="00612968" w:rsidRDefault="009A1820" w:rsidP="009A1820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Nově navrhovaný výkon je právě</w:t>
      </w:r>
      <w:r w:rsidR="00DD6E0C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jedinečný a </w:t>
      </w: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specifický</w:t>
      </w:r>
      <w:r w:rsidR="00AC2E23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flexibilitou, </w:t>
      </w:r>
      <w:r w:rsidR="00DD6E0C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proveditelností</w:t>
      </w:r>
      <w:r w:rsidR="00AC2E23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v ambulanci gastroenterologa a okamžitým výsledkem</w:t>
      </w:r>
      <w:r w:rsidR="00DD6E0C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. Uvádíme </w:t>
      </w:r>
      <w:r w:rsidR="00AC10FF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porovnání</w:t>
      </w:r>
      <w:r w:rsidR="00DD6E0C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s ostatními, Vámi zmiňovanými </w:t>
      </w:r>
      <w:r w:rsidR="00AC10FF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výkony a metodami:</w:t>
      </w:r>
    </w:p>
    <w:p w14:paraId="6CFFCDD7" w14:textId="03D2D61F" w:rsidR="00AC10FF" w:rsidRPr="00612968" w:rsidRDefault="00EC5DE0" w:rsidP="009A1820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Výkon 91483 – povahou a přesností </w:t>
      </w:r>
      <w:r w:rsidR="00A62589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porovnatelný</w:t>
      </w: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, </w:t>
      </w:r>
      <w:r w:rsidR="00264AAD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nicméně vyžaduje </w:t>
      </w:r>
      <w:r w:rsidR="00156DF6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transport vzorku do laboratoře a další nadbytečn</w:t>
      </w:r>
      <w:r w:rsidR="006D54F1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ou klinickou návštěvu k zhodnocení výsledku a stanovení dalšího </w:t>
      </w:r>
      <w:r w:rsidR="00A62589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postupu</w:t>
      </w:r>
      <w:r w:rsidR="006D54F1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.</w:t>
      </w:r>
    </w:p>
    <w:p w14:paraId="1B98F335" w14:textId="0B89CBE4" w:rsidR="006D54F1" w:rsidRPr="00612968" w:rsidRDefault="00883ADF" w:rsidP="009A1820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Výkon 15143 – dechový test, též neinvazivní, podstatně ekonomicky náročnější</w:t>
      </w:r>
      <w:r w:rsidR="00EF52DC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(1777 versus</w:t>
      </w:r>
      <w:r w:rsidR="00AB161C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708 bodů)</w:t>
      </w:r>
      <w:r w:rsidR="00DB3926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. Navíc oproti spolehlivým imunoflu</w:t>
      </w:r>
      <w:r w:rsidR="00250A66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orescenčním POCT analyzátorům je </w:t>
      </w:r>
      <w:r w:rsidR="00E43C6B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technologie zatížena větší poruchovostí.</w:t>
      </w:r>
    </w:p>
    <w:p w14:paraId="2F6A67C7" w14:textId="044F71D8" w:rsidR="00E43C6B" w:rsidRPr="00612968" w:rsidRDefault="002D5E9B" w:rsidP="009A1820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Histologie, rychlý ureázová test a molekulární metody – vyžadují provedení horní endoskopie a biopsie (15401 </w:t>
      </w:r>
      <w:r w:rsidR="003B020C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+154</w:t>
      </w:r>
      <w:r w:rsidR="006715D4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40) – volí</w:t>
      </w:r>
      <w:r w:rsidR="00AA2CCE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me jen v případech, kdy je nutná endoskopie (</w:t>
      </w:r>
      <w:r w:rsidR="00A62589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ověření</w:t>
      </w:r>
      <w:r w:rsidR="00AA2CCE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hojení vředu, gastritidy</w:t>
      </w:r>
      <w:r w:rsidR="00BE45F7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, podezření na organické onemocnění trávicí trubice</w:t>
      </w:r>
      <w:r w:rsidR="00AA2CCE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atd.). </w:t>
      </w:r>
      <w:r w:rsidR="005B6F6A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Ú</w:t>
      </w:r>
      <w:r w:rsidR="00FE09FD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spěšnost eradikace ověřujeme neinvazivně bez provedení endoskopie.</w:t>
      </w:r>
    </w:p>
    <w:p w14:paraId="13E76763" w14:textId="77777777" w:rsidR="00AC10FF" w:rsidRPr="00634258" w:rsidRDefault="00AC10FF" w:rsidP="009A1820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59E69BEF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Vzhledem k tomu, že v současné době je standardní lab. výsledek 91483 k dispozici do 24 hodin a nehrozí nebezpečí z prodlení je úspora za POCT vyš. iluzorní, je nebezpečí duplicitních vyšetření.</w:t>
      </w: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 </w:t>
      </w:r>
    </w:p>
    <w:p w14:paraId="4A7005D1" w14:textId="77777777" w:rsidR="008B7ABA" w:rsidRDefault="008B7ABA" w:rsidP="008B7ABA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69455C7C" w14:textId="128F9575" w:rsidR="008B7ABA" w:rsidRPr="00C27F2B" w:rsidRDefault="008B7ABA" w:rsidP="008B7ABA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Nejedná se o </w:t>
      </w:r>
      <w:r w:rsidR="00D6719B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medicínské </w:t>
      </w:r>
      <w:r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nebezpečí z</w:t>
      </w:r>
      <w:r w:rsidR="00A80E2E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 </w:t>
      </w:r>
      <w:r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prodlení</w:t>
      </w:r>
      <w:r w:rsidR="00A80E2E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, nýbrž o </w:t>
      </w:r>
      <w:r w:rsidR="002055EA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šetření času lékaře i pacienta</w:t>
      </w:r>
      <w:r w:rsidR="0075407C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v případě,</w:t>
      </w:r>
      <w:r w:rsidR="002055EA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kdy je výsledek k</w:t>
      </w:r>
      <w:r w:rsidR="0075407C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 </w:t>
      </w:r>
      <w:r w:rsidR="002055EA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dispozici</w:t>
      </w:r>
      <w:r w:rsidR="0075407C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  <w:r w:rsidR="001461F2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ihned a není nutná další klinická návštěva</w:t>
      </w:r>
      <w:r w:rsidR="00855056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  <w:r w:rsidR="00A62589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ke sdělení výsledku</w:t>
      </w:r>
      <w:r w:rsidR="001A63DB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  <w:r w:rsidR="00A62589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a stanovení dalšího postupu</w:t>
      </w:r>
      <w:r w:rsidR="001A63DB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.  Provádění event. duplicitních vyšetření (ač</w:t>
      </w:r>
      <w:r w:rsidR="00FC6407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podle klinické praxe </w:t>
      </w:r>
      <w:r w:rsidR="00881193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jistě </w:t>
      </w:r>
      <w:r w:rsidR="00FC6407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nelze očekávat kombinování různých metod k ověření </w:t>
      </w:r>
      <w:r w:rsidR="005B6F6A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přítomnosti </w:t>
      </w:r>
      <w:r w:rsidR="00A274A9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Hel. pylori</w:t>
      </w:r>
      <w:r w:rsidR="00881193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) zamezí </w:t>
      </w:r>
      <w:r w:rsidR="00395D42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limitace vykazování jiných metod doplněná do registračního listu.</w:t>
      </w:r>
    </w:p>
    <w:p w14:paraId="3F2C558D" w14:textId="77777777" w:rsidR="00C27F2B" w:rsidRPr="00634258" w:rsidRDefault="00C27F2B" w:rsidP="008B7ABA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56C0AA39" w14:textId="07027703" w:rsidR="00C27F2B" w:rsidRDefault="00A9346F" w:rsidP="00C27F2B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Není doložena spolehlivost POCT testu ani kalkulace jeho ceny. Při hodnotách bodu pro rok 2026 vychází předkládaný návhr cca o 100,- dráže, než laboratorní vyšetření (výkon 91483). </w:t>
      </w:r>
    </w:p>
    <w:p w14:paraId="7F437EBD" w14:textId="77777777" w:rsidR="00C27F2B" w:rsidRDefault="00C27F2B" w:rsidP="00C27F2B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331F0A35" w14:textId="64D7DA6A" w:rsidR="00C27F2B" w:rsidRPr="00DE0DB6" w:rsidRDefault="00C27F2B" w:rsidP="00DE0DB6">
      <w:pPr>
        <w:rPr>
          <w:rFonts w:ascii="Calibri" w:hAnsi="Calibri" w:cs="Calibri"/>
          <w:color w:val="0070C0"/>
          <w:sz w:val="22"/>
          <w:szCs w:val="22"/>
        </w:rPr>
      </w:pP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Spolehl</w:t>
      </w:r>
      <w:r w:rsidR="00477719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ivost</w:t>
      </w:r>
      <w:r w:rsidR="00DC5E7A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POCT testu je dobře dokumentována v literatuře (např.</w:t>
      </w:r>
      <w:r w:rsidR="00277E60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  <w:r w:rsidR="00C67DEC" w:rsidRPr="00DE0DB6">
        <w:rPr>
          <w:rFonts w:ascii="Calibri" w:hAnsi="Calibri" w:cs="Calibri"/>
          <w:color w:val="0070C0"/>
          <w:sz w:val="22"/>
          <w:szCs w:val="22"/>
        </w:rPr>
        <w:t>Leal YA, Flores LL, García-Cortés LB, Torres J, Fuentes-Pananá EM. Utility of stool sample-based tests for the diagnosis of Helicobacter pylori infection in children and adults. J Pediatr Gastroenterol Nutr. 2011;52(6):718–728.</w:t>
      </w:r>
      <w:r w:rsidR="00DE0DB6" w:rsidRPr="00DE0DB6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C67DEC" w:rsidRPr="00DE0DB6">
        <w:rPr>
          <w:rFonts w:ascii="Calibri" w:hAnsi="Calibri" w:cs="Calibri"/>
          <w:color w:val="0070C0"/>
          <w:sz w:val="22"/>
          <w:szCs w:val="22"/>
        </w:rPr>
        <w:t>Yang HR, Seo JK, Seo JH, Park JS, Park JH, Kim JY. Helicobacter pylori stool antigen (HpSA) tests in children before and after eradication therapy: comparison of rapid immunochromatographic assay and HpSA ELISA. Helicobacter. 2008;13(3):204–211.</w:t>
      </w:r>
      <w:r w:rsidR="00DE0DB6" w:rsidRPr="00DE0DB6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C67DEC" w:rsidRPr="00DE0DB6">
        <w:rPr>
          <w:rFonts w:ascii="Calibri" w:hAnsi="Calibri" w:cs="Calibri"/>
          <w:color w:val="0070C0"/>
          <w:sz w:val="22"/>
          <w:szCs w:val="22"/>
        </w:rPr>
        <w:t>Silva JMK, Villares CA, Monteiro Mdo S, et al. Validation of a rapid stool antigen test for diagnosis of Helicobacter pylori infection. Rev Inst Med Trop Sao Paulo. 2010;52(3):125–128.</w:t>
      </w:r>
      <w:r w:rsidR="00DE0DB6" w:rsidRPr="00DE0DB6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C67DEC" w:rsidRPr="00DE0DB6">
        <w:rPr>
          <w:rFonts w:ascii="Calibri" w:hAnsi="Calibri" w:cs="Calibri"/>
          <w:color w:val="0070C0"/>
          <w:sz w:val="22"/>
          <w:szCs w:val="22"/>
        </w:rPr>
        <w:t>Prell C, Osterrieder S, Lottspeich C, et al. Improved performance of a rapid office-based stool test for detection of Helicobacter pylori antigen in children. J Clin Microbiol. 2009;47(12):3980–3984</w:t>
      </w:r>
      <w:r w:rsidR="00DE0DB6" w:rsidRPr="00DE0DB6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C67DEC" w:rsidRPr="00DE0DB6">
        <w:rPr>
          <w:rFonts w:ascii="Calibri" w:hAnsi="Calibri" w:cs="Calibri"/>
          <w:color w:val="0070C0"/>
          <w:sz w:val="22"/>
          <w:szCs w:val="22"/>
        </w:rPr>
        <w:t xml:space="preserve">Omar M, Basyouni H, Abdel-Razek W, et al. A comparative systematic review and meta-analysis on the diagnostic accuracy of non-invasive tests for Helicobacter pylori infection in </w:t>
      </w:r>
      <w:r w:rsidR="00C67DEC" w:rsidRPr="00DE0DB6">
        <w:rPr>
          <w:rFonts w:ascii="Calibri" w:hAnsi="Calibri" w:cs="Calibri"/>
          <w:color w:val="0070C0"/>
          <w:sz w:val="22"/>
          <w:szCs w:val="22"/>
        </w:rPr>
        <w:lastRenderedPageBreak/>
        <w:t>older adults. Front Med (Lausanne). 2023;10:1323113</w:t>
      </w:r>
      <w:r w:rsidR="00DC5E7A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), </w:t>
      </w:r>
      <w:r w:rsidR="00C31D8F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data ke konkrétnímu diagnostickému prostředku</w:t>
      </w:r>
      <w:r w:rsidR="00EC03BB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použitému pro konstrukci výkonu a kalkulaci ceny </w:t>
      </w:r>
      <w:r w:rsidR="00CB56AA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připojujeme v příloze 1. </w:t>
      </w:r>
      <w:r w:rsidR="00941A93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Bodovou hodnotu a cenu výkonu se podařilo snížit </w:t>
      </w:r>
      <w:r w:rsidR="00870035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oslovením více dodavatelů a snížením </w:t>
      </w:r>
      <w:r w:rsidR="00B6294D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nabídkové ceny největšího dodavatele</w:t>
      </w:r>
      <w:r w:rsidR="009B66EC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imnufluorescenč</w:t>
      </w:r>
      <w:r w:rsidR="00AC72DD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ních POCT analyzátorů. Cenov</w:t>
      </w:r>
      <w:r w:rsidR="008F5714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ou kalkulaci připojujeme – příloha 2</w:t>
      </w:r>
      <w:r w:rsidR="00277E60"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.</w:t>
      </w:r>
    </w:p>
    <w:p w14:paraId="6A7FEE01" w14:textId="77777777" w:rsidR="00277E60" w:rsidRPr="00C27F2B" w:rsidRDefault="00277E60" w:rsidP="00DC5E7A">
      <w:pPr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322CADCF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Návrh neobsahuje limitace vykazování jiných vyšetření k diagnostice infekce H. pylori </w:t>
      </w:r>
    </w:p>
    <w:p w14:paraId="6EA158A5" w14:textId="77777777" w:rsidR="005A6A6C" w:rsidRDefault="005A6A6C" w:rsidP="005A6A6C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5AF642E2" w14:textId="07E4BF5C" w:rsidR="005A6A6C" w:rsidRPr="0042356F" w:rsidRDefault="0042356F" w:rsidP="005A6A6C">
      <w:pPr>
        <w:spacing w:after="0" w:line="240" w:lineRule="auto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42356F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Limitace doplněny do návrhu RL výkonu.</w:t>
      </w:r>
    </w:p>
    <w:p w14:paraId="76F2EACD" w14:textId="77777777" w:rsidR="0042356F" w:rsidRPr="005A6A6C" w:rsidRDefault="0042356F" w:rsidP="005A6A6C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7714A5C1" w14:textId="77777777" w:rsidR="00A9346F" w:rsidRPr="00634258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Chybí detailnější ekonomická analýza </w:t>
      </w:r>
    </w:p>
    <w:p w14:paraId="2F5A0945" w14:textId="77777777" w:rsidR="00A9346F" w:rsidRDefault="00A9346F">
      <w:pPr>
        <w:rPr>
          <w:rFonts w:ascii="Calibri" w:hAnsi="Calibri" w:cs="Calibri"/>
          <w:sz w:val="22"/>
          <w:szCs w:val="22"/>
        </w:rPr>
      </w:pPr>
    </w:p>
    <w:p w14:paraId="40CFAA3C" w14:textId="3FD0A493" w:rsidR="00A274A9" w:rsidRPr="00A37C74" w:rsidRDefault="00A274A9">
      <w:pPr>
        <w:rPr>
          <w:rFonts w:ascii="Calibri" w:hAnsi="Calibri" w:cs="Calibri"/>
          <w:color w:val="0070C0"/>
          <w:sz w:val="22"/>
          <w:szCs w:val="22"/>
        </w:rPr>
      </w:pPr>
      <w:r w:rsidRPr="00A37C74">
        <w:rPr>
          <w:rFonts w:ascii="Calibri" w:hAnsi="Calibri" w:cs="Calibri"/>
          <w:color w:val="0070C0"/>
          <w:sz w:val="22"/>
          <w:szCs w:val="22"/>
        </w:rPr>
        <w:t xml:space="preserve">Jednoznačně nebude narůstat </w:t>
      </w:r>
      <w:r w:rsidR="00DD10B0" w:rsidRPr="00A37C74">
        <w:rPr>
          <w:rFonts w:ascii="Calibri" w:hAnsi="Calibri" w:cs="Calibri"/>
          <w:color w:val="0070C0"/>
          <w:sz w:val="22"/>
          <w:szCs w:val="22"/>
        </w:rPr>
        <w:t xml:space="preserve">počet výkonů ke stanovení přítomnosti helicobacterové infekce – v tomto směru </w:t>
      </w:r>
      <w:r w:rsidR="004369D8" w:rsidRPr="00A37C74">
        <w:rPr>
          <w:rFonts w:ascii="Calibri" w:hAnsi="Calibri" w:cs="Calibri"/>
          <w:color w:val="0070C0"/>
          <w:sz w:val="22"/>
          <w:szCs w:val="22"/>
        </w:rPr>
        <w:t xml:space="preserve">jsou pacienti dle doporučení již dlouhodobě diagnostikováni. U poskytovatelů, kteří by si </w:t>
      </w:r>
      <w:r w:rsidR="005579BC" w:rsidRPr="00A37C74">
        <w:rPr>
          <w:rFonts w:ascii="Calibri" w:hAnsi="Calibri" w:cs="Calibri"/>
          <w:color w:val="0070C0"/>
          <w:sz w:val="22"/>
          <w:szCs w:val="22"/>
        </w:rPr>
        <w:t xml:space="preserve">nový výkon nasmlouvali a potřebnou techniku si pořídili, dojde ke změně </w:t>
      </w:r>
      <w:r w:rsidR="00B85992" w:rsidRPr="00A37C74">
        <w:rPr>
          <w:rFonts w:ascii="Calibri" w:hAnsi="Calibri" w:cs="Calibri"/>
          <w:color w:val="0070C0"/>
          <w:sz w:val="22"/>
          <w:szCs w:val="22"/>
        </w:rPr>
        <w:t xml:space="preserve">užívané metody, ve všech případech je navrhovaný výkon levnější než </w:t>
      </w:r>
      <w:r w:rsidR="000558D6" w:rsidRPr="00A37C74">
        <w:rPr>
          <w:rFonts w:ascii="Calibri" w:hAnsi="Calibri" w:cs="Calibri"/>
          <w:color w:val="0070C0"/>
          <w:sz w:val="22"/>
          <w:szCs w:val="22"/>
        </w:rPr>
        <w:t xml:space="preserve">aktuálně používané alternativy. Dovolujeme si připojit porovnání s nejčastěji </w:t>
      </w:r>
      <w:r w:rsidR="00837E2D" w:rsidRPr="00A37C74">
        <w:rPr>
          <w:rFonts w:ascii="Calibri" w:hAnsi="Calibri" w:cs="Calibri"/>
          <w:color w:val="0070C0"/>
          <w:sz w:val="22"/>
          <w:szCs w:val="22"/>
        </w:rPr>
        <w:t>aplikovanými výkony:</w:t>
      </w:r>
    </w:p>
    <w:p w14:paraId="20C542F6" w14:textId="2118210C" w:rsidR="00837E2D" w:rsidRPr="00A37C74" w:rsidRDefault="008E7541">
      <w:p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A37C74">
        <w:rPr>
          <w:rFonts w:ascii="Calibri" w:hAnsi="Calibri" w:cs="Calibri"/>
          <w:b/>
          <w:bCs/>
          <w:color w:val="0070C0"/>
          <w:sz w:val="22"/>
          <w:szCs w:val="22"/>
        </w:rPr>
        <w:t>Dechový test</w:t>
      </w:r>
      <w:r w:rsidRPr="00A37C74">
        <w:rPr>
          <w:rFonts w:ascii="Calibri" w:hAnsi="Calibri" w:cs="Calibri"/>
          <w:color w:val="0070C0"/>
          <w:sz w:val="22"/>
          <w:szCs w:val="22"/>
        </w:rPr>
        <w:t xml:space="preserve"> </w:t>
      </w:r>
      <w:r w:rsidR="00C25AF1" w:rsidRPr="00A37C74">
        <w:rPr>
          <w:rFonts w:ascii="Calibri" w:hAnsi="Calibri" w:cs="Calibri"/>
          <w:color w:val="0070C0"/>
          <w:sz w:val="22"/>
          <w:szCs w:val="22"/>
        </w:rPr>
        <w:t xml:space="preserve">15143: </w:t>
      </w:r>
      <w:r w:rsidR="00C25AF1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1777 versus </w:t>
      </w:r>
      <w:r w:rsidR="00C25AF1" w:rsidRPr="00A37C74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="00C25AF1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</w:t>
      </w:r>
    </w:p>
    <w:p w14:paraId="016351E0" w14:textId="4B8897D1" w:rsidR="00C25AF1" w:rsidRDefault="007E5BCA">
      <w:p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A37C74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Laboratorní vyšetření antigenu HP</w:t>
      </w:r>
      <w:r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ve stolici: </w:t>
      </w:r>
      <w:r w:rsidR="000C3E2F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776 vs </w:t>
      </w:r>
      <w:r w:rsidR="000C3E2F" w:rsidRPr="00A37C74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="000C3E2F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bodů, navíc odpadne</w:t>
      </w:r>
      <w:r w:rsidR="00D046E7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nutnost další klinické návštěvy ke sdělení výsledku a stanovení dalšího postupu.  </w:t>
      </w:r>
    </w:p>
    <w:p w14:paraId="3BC0025B" w14:textId="666C7BC2" w:rsidR="00A37C74" w:rsidRPr="00A37C74" w:rsidRDefault="00E23489">
      <w:pPr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Histopatologické, mikrobiologické vyšetření nebo rychlý ureázový test</w:t>
      </w:r>
      <w:r w:rsidR="00A135B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z biopsie: již jen gastroskopie a biopsie (dohromady </w:t>
      </w:r>
      <w:r w:rsidR="00014B7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1982 </w:t>
      </w:r>
      <w:r w:rsidR="00A135B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bodů) zásadně převyšuje cenu navrhovaného </w:t>
      </w:r>
      <w:r w:rsidR="00CE6313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vyšetření, navíc je nutné připočíst cenu samotného laboratorního testu</w:t>
      </w:r>
      <w:r w:rsidR="00014B7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a de</w:t>
      </w:r>
      <w:r w:rsidR="00D002BD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zinfekci endoskopu</w:t>
      </w:r>
      <w:r w:rsidR="00CE6313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. </w:t>
      </w:r>
    </w:p>
    <w:p w14:paraId="696802F6" w14:textId="77777777" w:rsidR="000558D6" w:rsidRPr="00634258" w:rsidRDefault="000558D6">
      <w:pPr>
        <w:rPr>
          <w:rFonts w:ascii="Calibri" w:hAnsi="Calibri" w:cs="Calibri"/>
          <w:sz w:val="22"/>
          <w:szCs w:val="22"/>
        </w:rPr>
      </w:pPr>
    </w:p>
    <w:p w14:paraId="07E15A72" w14:textId="539DD175" w:rsidR="00A9346F" w:rsidRPr="00634258" w:rsidRDefault="00A9346F">
      <w:pPr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>Připomínky SZP ČR</w:t>
      </w:r>
    </w:p>
    <w:p w14:paraId="6AB072CB" w14:textId="77777777" w:rsidR="00A9346F" w:rsidRDefault="00A9346F" w:rsidP="00A9346F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 xml:space="preserve">V současnosti je k dispozici výkon 91483 STANOVENÍ ANTIGENU HELICOBACTER PYLORI VE STOLICI – laboratorní výkon (zlatý standard). Jaký je (kromě rychlosti) důvod pro zavedení POCT výkonu, který je i nákladnější? Podotýkáme, že v klinických indikacích nehrozí žádné riziko z prodlení. </w:t>
      </w:r>
    </w:p>
    <w:p w14:paraId="79A5FFA3" w14:textId="3007BBD3" w:rsidR="008B0A8B" w:rsidRPr="00612968" w:rsidRDefault="008B0A8B" w:rsidP="008B0A8B">
      <w:pPr>
        <w:pStyle w:val="Odstavecseseznamem"/>
        <w:spacing w:after="0" w:line="240" w:lineRule="auto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Nově navrhovaný výkon je právě jedinečný a specifický flexibilitou, proveditelností v ambulanci gastroenterologa a okamžitým výsledkem. Uvádíme porovnání s </w:t>
      </w:r>
    </w:p>
    <w:p w14:paraId="704D0686" w14:textId="46BFE459" w:rsidR="008B0A8B" w:rsidRPr="00612968" w:rsidRDefault="00BC0388" w:rsidP="008B0A8B">
      <w:pPr>
        <w:pStyle w:val="Odstavecseseznamem"/>
        <w:spacing w:after="0" w:line="240" w:lineRule="auto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v</w:t>
      </w:r>
      <w:r w:rsidR="008B0A8B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ýkon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em</w:t>
      </w:r>
      <w:r w:rsidR="008B0A8B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91483 – povahou a přesností porovnatelný, nicméně vyžaduje transport vzorku do laboratoře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nebo návštěvu odběrového </w:t>
      </w:r>
      <w:r w:rsidR="00490FC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místa</w:t>
      </w:r>
      <w:r w:rsidR="008B0A8B"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a další nadbytečnou klinickou návštěvu k zhodnocení výsledku a stanovení dalšího postupu.</w:t>
      </w:r>
      <w:r w:rsidR="00B0340F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  <w:r w:rsidR="00B0340F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Nejedná se o medicínské nebezpečí z prodlení, nýbrž o šetření času lékaře i pacienta v případě, kdy je výsledek k dispozici ihned a není nutná další klinická návštěva ke sdělení výsledku a stanovení dalšího postupu.  </w:t>
      </w:r>
      <w:r w:rsidR="00B0340F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Výkon není po úpravě registračního listu dražší, právě naopak.</w:t>
      </w:r>
    </w:p>
    <w:p w14:paraId="7F479EDA" w14:textId="77777777" w:rsidR="008B0A8B" w:rsidRPr="00634258" w:rsidRDefault="008B0A8B" w:rsidP="00B0340F">
      <w:pPr>
        <w:rPr>
          <w:rFonts w:ascii="Calibri" w:hAnsi="Calibri" w:cs="Calibri"/>
          <w:sz w:val="22"/>
          <w:szCs w:val="22"/>
        </w:rPr>
      </w:pPr>
    </w:p>
    <w:p w14:paraId="0E30B821" w14:textId="77777777" w:rsidR="00A9346F" w:rsidRDefault="00A9346F" w:rsidP="00A9346F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>Je senzitivita a specificita obou metod srovnatelná?</w:t>
      </w:r>
    </w:p>
    <w:p w14:paraId="66BED728" w14:textId="1E3C4D06" w:rsidR="00B0340F" w:rsidRPr="00B0340F" w:rsidRDefault="00B0340F" w:rsidP="00D02BFB">
      <w:pPr>
        <w:pStyle w:val="Odstavecseseznamem"/>
        <w:rPr>
          <w:rFonts w:ascii="Calibri" w:hAnsi="Calibri" w:cs="Calibri"/>
          <w:color w:val="0070C0"/>
          <w:sz w:val="22"/>
          <w:szCs w:val="22"/>
        </w:rPr>
      </w:pP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Ano, </w:t>
      </w:r>
      <w:r w:rsidR="00D02BF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s</w:t>
      </w:r>
      <w:r w:rsidRPr="00B0340F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polehlivost POCT testu je dobře dokumentována v literatuře (např. </w:t>
      </w:r>
      <w:r w:rsidRPr="00B0340F">
        <w:rPr>
          <w:rFonts w:ascii="Calibri" w:hAnsi="Calibri" w:cs="Calibri"/>
          <w:color w:val="0070C0"/>
          <w:sz w:val="22"/>
          <w:szCs w:val="22"/>
        </w:rPr>
        <w:t xml:space="preserve">Leal YA, Flores LL, García-Cortés LB, Torres J, Fuentes-Pananá EM. Utility of stool sample-based tests for the </w:t>
      </w:r>
      <w:r w:rsidRPr="00B0340F">
        <w:rPr>
          <w:rFonts w:ascii="Calibri" w:hAnsi="Calibri" w:cs="Calibri"/>
          <w:color w:val="0070C0"/>
          <w:sz w:val="22"/>
          <w:szCs w:val="22"/>
        </w:rPr>
        <w:lastRenderedPageBreak/>
        <w:t>diagnosis of Helicobacter pylori infection in children and adults. J Pediatr Gastroenterol Nutr. 2011;52(6):718–728., Yang HR, Seo JK, Seo JH, Park JS, Park JH, Kim JY. Helicobacter pylori stool antigen (HpSA) tests in children before and after eradication therapy: comparison of rapid immunochromatographic assay and HpSA ELISA. Helicobacter. 2008;13(3):204–211., Silva JMK, Villares CA, Monteiro Mdo S, et al. Validation of a rapid stool antigen test for diagnosis of Helicobacter pylori infection. Rev Inst Med Trop Sao Paulo. 2010;52(3):125–128., Prell C, Osterrieder S, Lottspeich C, et al. Improved performance of a rapid office-based stool test for detection of Helicobacter pylori antigen in children. J Clin Microbiol. 2009;47(12):3980–3984, Omar M, Basyouni H, Abdel-Razek W, et al. A comparative systematic review and meta-analysis on the diagnostic accuracy of non-invasive tests for Helicobacter pylori infection in older adults. Front Med (Lausanne). 2023;10:1323113</w:t>
      </w:r>
      <w:r w:rsidRPr="00B0340F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), data ke konkrétnímu diagnostickému prostředku použitému pro konstrukci výkonu a kalkulaci ceny připojujeme v příloze 1. Bodovou hodnotu a cenu výkonu se podařilo snížit oslovením více dodavatelů a snížením nabídkové ceny největšího dodavatele imnufluorescenčních POCT analyzátorů. Cenovou kalkulaci připojujeme – příloha 2.</w:t>
      </w:r>
    </w:p>
    <w:p w14:paraId="47820327" w14:textId="13BD785A" w:rsidR="00B0340F" w:rsidRPr="00634258" w:rsidRDefault="00B0340F" w:rsidP="00B0340F">
      <w:pPr>
        <w:ind w:left="720"/>
        <w:rPr>
          <w:rFonts w:ascii="Calibri" w:hAnsi="Calibri" w:cs="Calibri"/>
          <w:sz w:val="22"/>
          <w:szCs w:val="22"/>
        </w:rPr>
      </w:pPr>
    </w:p>
    <w:p w14:paraId="7E14906B" w14:textId="77777777" w:rsidR="00A9346F" w:rsidRDefault="00A9346F" w:rsidP="00A9346F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 xml:space="preserve">Žádáme o doložení ekonomického dopadu. </w:t>
      </w:r>
    </w:p>
    <w:p w14:paraId="37973337" w14:textId="77777777" w:rsidR="00D02BFB" w:rsidRPr="00D02BFB" w:rsidRDefault="00D02BFB" w:rsidP="00D02BFB">
      <w:pPr>
        <w:pStyle w:val="Odstavecseseznamem"/>
        <w:rPr>
          <w:rFonts w:ascii="Calibri" w:hAnsi="Calibri" w:cs="Calibri"/>
          <w:color w:val="0070C0"/>
          <w:sz w:val="22"/>
          <w:szCs w:val="22"/>
        </w:rPr>
      </w:pPr>
      <w:r w:rsidRPr="00D02BFB">
        <w:rPr>
          <w:rFonts w:ascii="Calibri" w:hAnsi="Calibri" w:cs="Calibri"/>
          <w:color w:val="0070C0"/>
          <w:sz w:val="22"/>
          <w:szCs w:val="22"/>
        </w:rPr>
        <w:t>Jednoznačně nebude narůstat počet výkonů ke stanovení přítomnosti helicobacterové infekce – v tomto směru jsou pacienti dle doporučení již dlouhodobě diagnostikováni. U poskytovatelů, kteří by si nový výkon nasmlouvali a potřebnou techniku si pořídili, dojde ke změně užívané metody, ve všech případech je navrhovaný výkon levnější než aktuálně používané alternativy. Dovolujeme si připojit porovnání s nejčastěji aplikovanými výkony:</w:t>
      </w:r>
    </w:p>
    <w:p w14:paraId="3E9484F9" w14:textId="77777777" w:rsidR="00D02BFB" w:rsidRPr="00D02BFB" w:rsidRDefault="00D02BFB" w:rsidP="00D02BFB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D02BFB">
        <w:rPr>
          <w:rFonts w:ascii="Calibri" w:hAnsi="Calibri" w:cs="Calibri"/>
          <w:b/>
          <w:bCs/>
          <w:color w:val="0070C0"/>
          <w:sz w:val="22"/>
          <w:szCs w:val="22"/>
        </w:rPr>
        <w:t>Dechový test</w:t>
      </w:r>
      <w:r w:rsidRPr="00D02BFB">
        <w:rPr>
          <w:rFonts w:ascii="Calibri" w:hAnsi="Calibri" w:cs="Calibri"/>
          <w:color w:val="0070C0"/>
          <w:sz w:val="22"/>
          <w:szCs w:val="22"/>
        </w:rPr>
        <w:t xml:space="preserve"> 15143: </w:t>
      </w:r>
      <w:r w:rsidRPr="00D02BF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1777 versus </w:t>
      </w:r>
      <w:r w:rsidRPr="00D02BF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Pr="00D02BF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</w:t>
      </w:r>
    </w:p>
    <w:p w14:paraId="62BE1394" w14:textId="77777777" w:rsidR="00D02BFB" w:rsidRPr="00D02BFB" w:rsidRDefault="00D02BFB" w:rsidP="00D02BFB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D02BF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Laboratorní vyšetření antigenu HP</w:t>
      </w:r>
      <w:r w:rsidRPr="00D02BF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ve stolici: 776 vs </w:t>
      </w:r>
      <w:r w:rsidRPr="00D02BF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Pr="00D02BF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bodů, navíc odpadne nutnost další klinické návštěvy ke sdělení výsledku a stanovení dalšího postupu.  </w:t>
      </w:r>
    </w:p>
    <w:p w14:paraId="02454C92" w14:textId="374FEBA2" w:rsidR="00D02BFB" w:rsidRPr="00D02BFB" w:rsidRDefault="00D02BFB" w:rsidP="00D02BFB">
      <w:pPr>
        <w:pStyle w:val="Odstavecseseznamem"/>
        <w:numPr>
          <w:ilvl w:val="0"/>
          <w:numId w:val="2"/>
        </w:numPr>
        <w:rPr>
          <w:rFonts w:ascii="Calibri" w:hAnsi="Calibri" w:cs="Calibri"/>
          <w:color w:val="0070C0"/>
          <w:sz w:val="22"/>
          <w:szCs w:val="22"/>
        </w:rPr>
      </w:pPr>
      <w:r w:rsidRPr="00D02BF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Histopatologické, mikrobiologické vyšetření nebo rychlý ureázový test z biopsie: již jen gastroskopie a biopsie (dohromady 1982 bodů) zásadně převyšuje cenu navrhovaného vyšetření, navíc je nutné připočíst cenu samotného laboratorního testu a dezinfekci endoskopu. </w:t>
      </w:r>
    </w:p>
    <w:p w14:paraId="7A799C28" w14:textId="77777777" w:rsidR="00A9346F" w:rsidRPr="00634258" w:rsidRDefault="00A9346F" w:rsidP="00A9346F">
      <w:pPr>
        <w:rPr>
          <w:rFonts w:ascii="Calibri" w:hAnsi="Calibri" w:cs="Calibri"/>
          <w:sz w:val="22"/>
          <w:szCs w:val="22"/>
        </w:rPr>
      </w:pPr>
    </w:p>
    <w:p w14:paraId="1545E442" w14:textId="77777777" w:rsidR="00A9346F" w:rsidRPr="00634258" w:rsidRDefault="00A9346F" w:rsidP="00A9346F">
      <w:pPr>
        <w:rPr>
          <w:rFonts w:ascii="Calibri" w:hAnsi="Calibri" w:cs="Calibri"/>
          <w:sz w:val="22"/>
          <w:szCs w:val="22"/>
        </w:rPr>
      </w:pPr>
    </w:p>
    <w:p w14:paraId="3DA9DC97" w14:textId="315A1711" w:rsidR="00A9346F" w:rsidRPr="00634258" w:rsidRDefault="00A9346F" w:rsidP="00A9346F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634258">
        <w:rPr>
          <w:rFonts w:ascii="Calibri" w:hAnsi="Calibri" w:cs="Calibri"/>
          <w:sz w:val="22"/>
          <w:szCs w:val="22"/>
        </w:rPr>
        <w:t xml:space="preserve">Vypořádání připomínek k výkonu </w:t>
      </w:r>
      <w:r w:rsidRPr="00634258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STANOVENÍ POCT FEKÁLNÍHO KALPROTEKTINU V AMBULANCI GASTROENTEROLOGA</w:t>
      </w:r>
    </w:p>
    <w:p w14:paraId="12F316FB" w14:textId="77777777" w:rsidR="00A9346F" w:rsidRPr="00634258" w:rsidRDefault="00A9346F" w:rsidP="00A9346F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</w:p>
    <w:p w14:paraId="351FC9CF" w14:textId="6AC80602" w:rsidR="00A9346F" w:rsidRPr="00634258" w:rsidRDefault="00A9346F" w:rsidP="00A9346F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>Připomínky VZP</w:t>
      </w:r>
    </w:p>
    <w:p w14:paraId="4CB62D10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Nutné vyjádření OS odb. 801 k návrhu. </w:t>
      </w:r>
    </w:p>
    <w:p w14:paraId="50CF5A0C" w14:textId="77777777" w:rsidR="007D1C14" w:rsidRDefault="007D1C14" w:rsidP="007D1C14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47A71267" w14:textId="16FCE16A" w:rsidR="00D20DB1" w:rsidRDefault="00D20DB1" w:rsidP="00D20DB1">
      <w:pPr>
        <w:spacing w:after="0" w:line="240" w:lineRule="auto"/>
        <w:ind w:left="98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Omlouváme se</w:t>
      </w:r>
      <w:r w:rsidR="00AC3F11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, ale podle našeho názoru není vyjádření odbornosti 801 relevantní. Jedná se o test prováděný v</w:t>
      </w:r>
      <w:r w:rsidR="00B94FDF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 </w:t>
      </w:r>
      <w:r w:rsidR="00AC3F11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ambulanci</w:t>
      </w:r>
      <w:r w:rsidR="00B94FDF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specializované odbornosti fokusované na onemocnění střeva a </w:t>
      </w:r>
      <w:r w:rsidR="00D45665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POCT </w:t>
      </w:r>
      <w:r w:rsidR="007D1C14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charakteristika</w:t>
      </w:r>
      <w:r w:rsidR="00D45665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  <w:r w:rsidR="007D1C14" w:rsidRPr="007D1C1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vyšetření nemá návaznost na laboratorní komplement.</w:t>
      </w:r>
    </w:p>
    <w:p w14:paraId="4BDC84F6" w14:textId="77777777" w:rsidR="007D1C14" w:rsidRPr="007D1C14" w:rsidRDefault="007D1C14" w:rsidP="00D20DB1">
      <w:pPr>
        <w:spacing w:after="0" w:line="240" w:lineRule="auto"/>
        <w:ind w:left="98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</w:p>
    <w:p w14:paraId="03EBA8FD" w14:textId="77777777" w:rsidR="00A9346F" w:rsidRPr="00634258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lastRenderedPageBreak/>
        <w:t xml:space="preserve">V SZV zavedeny pro vyšetření kalprotektinu </w:t>
      </w:r>
      <w:r w:rsidRPr="00634258">
        <w:rPr>
          <w:rFonts w:ascii="Calibri" w:eastAsia="Times New Roman" w:hAnsi="Calibri" w:cs="Calibri"/>
          <w:b/>
          <w:bCs/>
          <w:color w:val="000000"/>
          <w:sz w:val="22"/>
          <w:szCs w:val="22"/>
          <w:u w:val="single"/>
          <w:lang w:eastAsia="cs-CZ"/>
        </w:rPr>
        <w:t>již 2 výkony</w:t>
      </w: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:</w:t>
      </w:r>
    </w:p>
    <w:p w14:paraId="02BEB427" w14:textId="77777777" w:rsidR="00A9346F" w:rsidRPr="00634258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firstLine="253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91573 </w:t>
      </w:r>
      <w:hyperlink r:id="rId9" w:history="1">
        <w:r w:rsidRPr="00634258">
          <w:rPr>
            <w:rFonts w:ascii="Calibri" w:eastAsia="Times New Roman" w:hAnsi="Calibri" w:cs="Calibri"/>
            <w:color w:val="156082" w:themeColor="accent1"/>
            <w:sz w:val="22"/>
            <w:szCs w:val="22"/>
            <w:lang w:eastAsia="cs-CZ"/>
          </w:rPr>
          <w:t>Detail - Zdravotní výkony</w:t>
        </w:r>
      </w:hyperlink>
      <w:r w:rsidRPr="00634258">
        <w:rPr>
          <w:rFonts w:ascii="Calibri" w:eastAsia="Times New Roman" w:hAnsi="Calibri" w:cs="Calibri"/>
          <w:color w:val="156082" w:themeColor="accent1"/>
          <w:sz w:val="22"/>
          <w:szCs w:val="22"/>
          <w:lang w:eastAsia="cs-CZ"/>
        </w:rPr>
        <w:t xml:space="preserve"> </w:t>
      </w: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831 bodů 32x/rok</w:t>
      </w:r>
    </w:p>
    <w:p w14:paraId="6911DF28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firstLine="253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15150 </w:t>
      </w:r>
      <w:hyperlink r:id="rId10" w:history="1">
        <w:r w:rsidRPr="00634258">
          <w:rPr>
            <w:rFonts w:ascii="Calibri" w:eastAsia="Times New Roman" w:hAnsi="Calibri" w:cs="Calibri"/>
            <w:color w:val="156082" w:themeColor="accent1"/>
            <w:sz w:val="22"/>
            <w:szCs w:val="22"/>
            <w:lang w:eastAsia="cs-CZ"/>
          </w:rPr>
          <w:t>Detail - Zdravotní výkony</w:t>
        </w:r>
      </w:hyperlink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    DÁLKOVÁ KONTROLA PACIENTA S IDIOPATICKÝM STŘEVNÍM ZÁNĚTEM Self-monitoring tíže střevního zánětu je realizován měřením fekální hladiny kalprotektinu (FC) domácím POCT (point-of-care) testem→</w:t>
      </w:r>
    </w:p>
    <w:p w14:paraId="5D69DDB4" w14:textId="77777777" w:rsidR="00131ECE" w:rsidRDefault="00131ECE" w:rsidP="00131ECE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5939417A" w14:textId="77777777" w:rsidR="00131ECE" w:rsidRPr="00612968" w:rsidRDefault="00131ECE" w:rsidP="00131ECE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Nově navrhovaný výkon je právě jedinečný a specifický flexibilitou, proveditelností v ambulanci gastroenterologa a okamžitým výsledkem. Uvádíme porovnání s ostatními, Vámi zmiňovanými výkony a metodami:</w:t>
      </w:r>
    </w:p>
    <w:p w14:paraId="0491C30F" w14:textId="191E5097" w:rsidR="00131ECE" w:rsidRPr="00612968" w:rsidRDefault="00131ECE" w:rsidP="00131ECE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Výkon </w:t>
      </w:r>
      <w:r w:rsidR="00A16EF9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91573</w:t>
      </w: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– povahou a přesností porovnatelný, nicméně vyžaduje transport vzorku do laboratoře a další nadbytečnou klinickou návštěvu k zhodnocení výsledku a stanovení dalšího postupu.</w:t>
      </w:r>
      <w:r w:rsidR="00820B23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Po rekalkulaci nákladů dražší než </w:t>
      </w:r>
      <w:r w:rsidR="00E45B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nově navrhovaný výkon.</w:t>
      </w:r>
    </w:p>
    <w:p w14:paraId="59496B61" w14:textId="18AB6647" w:rsidR="00131ECE" w:rsidRPr="00612968" w:rsidRDefault="00131ECE" w:rsidP="00CD19E3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Výkon </w:t>
      </w:r>
      <w:r w:rsidR="00A16EF9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15150</w:t>
      </w: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– </w:t>
      </w:r>
      <w:r w:rsidR="007358AC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málo pracovišti užívaný selfmonitoring pacienta v domácím prostředí</w:t>
      </w:r>
      <w:r w:rsidR="00CD19E3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.</w:t>
      </w:r>
    </w:p>
    <w:p w14:paraId="70A79E80" w14:textId="77777777" w:rsidR="00BA0AD0" w:rsidRPr="00BA0AD0" w:rsidRDefault="00BA0AD0" w:rsidP="00BA0AD0">
      <w:pPr>
        <w:spacing w:after="0" w:line="240" w:lineRule="auto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6DAAFB11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Pro primární diagnostiku postačí stanovení v laboratoři, samotná vyšší hodnota kalprotektinu není diagnostická, </w:t>
      </w:r>
      <w:r w:rsidRPr="00634258"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  <w:t xml:space="preserve">vzhledem k tomu, že v současné době je standardní lab. výsledek k dispozici do 24 hodin a nehrozí nebezpečí z prodlení je úspora za POCT vyš. iluzorní, je nebezpečí duplicitních vyšetření. </w:t>
      </w:r>
    </w:p>
    <w:p w14:paraId="0211F9D5" w14:textId="77777777" w:rsidR="00C241DF" w:rsidRDefault="00C241DF" w:rsidP="00C241DF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</w:p>
    <w:p w14:paraId="5F6153C2" w14:textId="292A33D6" w:rsidR="00C241DF" w:rsidRPr="00C27F2B" w:rsidRDefault="00C241DF" w:rsidP="00C241DF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Nejedná se o medicínské nebezpečí z prodlení, nýbrž o šetření času lékaře i pacienta v případě, kdy je výsledek k dispozici ihned a není nutná další klinická návštěva ke sdělení výsledku a stanovení dalšího postupu.  Provádění event. duplicitních vyšetření (ač podle klinické praxe jistě nelze očekávat kombinování různých metod k</w:t>
      </w:r>
      <w:r w:rsidR="004F0F5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e stanovení exkrece fekálního kalprotektinu</w:t>
      </w:r>
      <w:r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) zamezí limitace vykazování jiných metod doplněná do registračního listu.</w:t>
      </w:r>
    </w:p>
    <w:p w14:paraId="550A6156" w14:textId="33D735A2" w:rsidR="00C241DF" w:rsidRPr="00634258" w:rsidRDefault="00C241DF" w:rsidP="00C241DF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cs-CZ"/>
        </w:rPr>
      </w:pPr>
    </w:p>
    <w:p w14:paraId="536E9D7B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Není doložena spolehlivost POCT testu ani kalkulace jeho ceny. Při hodnotách bodu pro rok 2026 vychází předkládaný návrh cca o 60,- dráže, než laboratorní vyšetření (výkon 91573). </w:t>
      </w:r>
    </w:p>
    <w:p w14:paraId="648DBAE7" w14:textId="77777777" w:rsidR="00F3163F" w:rsidRDefault="00F3163F" w:rsidP="00F3163F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62F2C6D2" w14:textId="6ABCA286" w:rsidR="00F3163F" w:rsidRPr="00031DBC" w:rsidRDefault="00F3163F" w:rsidP="00F3163F">
      <w:pPr>
        <w:rPr>
          <w:rFonts w:ascii="Calibri" w:hAnsi="Calibri" w:cs="Calibri"/>
          <w:sz w:val="22"/>
          <w:szCs w:val="22"/>
        </w:rPr>
      </w:pP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Spolehlivost POCT testu je dobře dokumentována v </w:t>
      </w:r>
      <w:r w:rsidRPr="00031DBC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literatuře (</w:t>
      </w:r>
      <w:r w:rsidR="004D0EE7" w:rsidRPr="00031DBC">
        <w:rPr>
          <w:rFonts w:ascii="Calibri" w:hAnsi="Calibri" w:cs="Calibri"/>
          <w:color w:val="0070C0"/>
          <w:sz w:val="22"/>
          <w:szCs w:val="22"/>
        </w:rPr>
        <w:t>Heida A, Knol M, Müller Kobold A, Bootsman J, Dijkstra G, van Rheenen PF. Agreement between home-based measurement of stool calprotectin and ELISA results for monitoring inflammatory bowel disease activity. Clin Gastroenterol Hepatol. 2017;15(11):1742–1749.e2. doi:10.1016/j.cgh.2017.06.007</w:t>
      </w:r>
      <w:r w:rsidR="002536C4" w:rsidRPr="00031DBC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4D0EE7" w:rsidRPr="00031DBC">
        <w:rPr>
          <w:rFonts w:ascii="Calibri" w:hAnsi="Calibri" w:cs="Calibri"/>
          <w:color w:val="0070C0"/>
          <w:sz w:val="22"/>
          <w:szCs w:val="22"/>
        </w:rPr>
        <w:t>Haisma SM, Galaurchi A, Almahwzi S, Balogun JAA, Jarbandhan S, Samsom JN, et al. Head-to-head comparison of three stool calprotectin tests for home use. PLoS One. 2019;14(4):e0214751. doi:10.1371/journal.pone.0214751</w:t>
      </w:r>
      <w:r w:rsidR="00031DBC" w:rsidRPr="00031DBC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4D0EE7" w:rsidRPr="00031DBC">
        <w:rPr>
          <w:rFonts w:ascii="Calibri" w:hAnsi="Calibri" w:cs="Calibri"/>
          <w:color w:val="0070C0"/>
          <w:sz w:val="22"/>
          <w:szCs w:val="22"/>
        </w:rPr>
        <w:t>Podmanicky D, Heida A, et al. P374 Home or hospital-based analysis of stool calprotectin: assessing two methods for monitoring inflammatory bowel disease. J Crohns Colitis. 2017;11(Suppl 1):S268</w:t>
      </w:r>
      <w:r w:rsidR="00031DBC" w:rsidRPr="00031DBC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4D0EE7" w:rsidRPr="00031DBC">
        <w:rPr>
          <w:rFonts w:ascii="Calibri" w:hAnsi="Calibri" w:cs="Calibri"/>
          <w:color w:val="0070C0"/>
          <w:sz w:val="22"/>
          <w:szCs w:val="22"/>
        </w:rPr>
        <w:t>National Institute for Health and Care Excellence (NICE). Point-of-care and home faecal calprotectin tests for monitoring treatment response in inflammatory bowel disease. Medtech innovation briefing MIB132. London: NICE; 2017</w:t>
      </w:r>
      <w:r w:rsidR="00031DBC" w:rsidRPr="00031DBC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4D0EE7" w:rsidRPr="00031DBC">
        <w:rPr>
          <w:rFonts w:ascii="Calibri" w:hAnsi="Calibri" w:cs="Calibri"/>
          <w:color w:val="0070C0"/>
          <w:sz w:val="22"/>
          <w:szCs w:val="22"/>
        </w:rPr>
        <w:t>NIHR Community Healthcare MIC. Point-of-care calprotectin tests. Horizon Scanning Report. Newcastle upon Tyne: NIHR; 2023</w:t>
      </w:r>
      <w:r w:rsidR="00031DBC" w:rsidRPr="00031DBC">
        <w:rPr>
          <w:rFonts w:ascii="Calibri" w:hAnsi="Calibri" w:cs="Calibri"/>
          <w:color w:val="0070C0"/>
          <w:sz w:val="22"/>
          <w:szCs w:val="22"/>
        </w:rPr>
        <w:t xml:space="preserve">, </w:t>
      </w:r>
      <w:r w:rsidR="004D0EE7" w:rsidRPr="00031DBC">
        <w:rPr>
          <w:rFonts w:ascii="Calibri" w:hAnsi="Calibri" w:cs="Calibri"/>
          <w:color w:val="0070C0"/>
          <w:sz w:val="22"/>
          <w:szCs w:val="22"/>
        </w:rPr>
        <w:t>El-Matary W, et al. Point-of-care and home fecal calprotectin tests in the management of inflammatory bowel disease (study summarised in NICE MIB132</w:t>
      </w:r>
      <w:r w:rsidRPr="00031DBC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),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data ke konkrétnímu diagnostickému prostředku použitému pro konstrukci výkonu a kalkulaci ceny připojujeme v příloze </w:t>
      </w:r>
      <w:r w:rsidR="00BA325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3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. Bodovou hodnotu a cenu výkonu se podařilo snížit oslovením více dodavatelů a snížením nabídkové ceny největšího dodavatele imnufluorescenčních POCT analyzátorů. Cenovou kalkulaci připojujeme – příloha </w:t>
      </w:r>
      <w:r w:rsidR="00BA325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2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.</w:t>
      </w:r>
      <w:r w:rsidR="00031DBC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</w:p>
    <w:p w14:paraId="65C48574" w14:textId="355397C9" w:rsidR="00F3163F" w:rsidRPr="00634258" w:rsidRDefault="00F3163F" w:rsidP="00F3163F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559C5D83" w14:textId="77777777" w:rsidR="00A9346F" w:rsidRDefault="00A9346F" w:rsidP="00A9346F">
      <w:pPr>
        <w:pStyle w:val="Odstavecseseznamem"/>
        <w:numPr>
          <w:ilvl w:val="0"/>
          <w:numId w:val="1"/>
        </w:numPr>
        <w:spacing w:after="0" w:line="240" w:lineRule="auto"/>
        <w:ind w:left="240" w:hanging="142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 xml:space="preserve">Návrh neobsahuje limitace vykazování jiných vyšetření </w:t>
      </w:r>
    </w:p>
    <w:p w14:paraId="058A4505" w14:textId="77777777" w:rsidR="00B4249F" w:rsidRDefault="00B4249F" w:rsidP="00B4249F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51A798EA" w14:textId="1D77FCC7" w:rsidR="00545588" w:rsidRPr="00545588" w:rsidRDefault="00B4249F" w:rsidP="00545588">
      <w:pPr>
        <w:spacing w:after="0" w:line="240" w:lineRule="auto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lastRenderedPageBreak/>
        <w:t xml:space="preserve"> </w:t>
      </w:r>
      <w:r w:rsidR="00545588" w:rsidRPr="0054558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Limitace doplněny do návrhu RL výkonu.</w:t>
      </w:r>
    </w:p>
    <w:p w14:paraId="017F1851" w14:textId="77777777" w:rsidR="00545588" w:rsidRPr="00545588" w:rsidRDefault="00545588" w:rsidP="00545588">
      <w:pPr>
        <w:spacing w:after="0" w:line="240" w:lineRule="auto"/>
        <w:ind w:left="98"/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64B3DA9F" w14:textId="6ABC3EA8" w:rsidR="00A9346F" w:rsidRDefault="00A9346F" w:rsidP="00A9346F">
      <w:pPr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Chybí detailnější ekonomická analýza</w:t>
      </w:r>
    </w:p>
    <w:p w14:paraId="020715D1" w14:textId="0F023984" w:rsidR="00D71FCA" w:rsidRPr="00A37C74" w:rsidRDefault="00D71FCA" w:rsidP="00D71FCA">
      <w:pPr>
        <w:rPr>
          <w:rFonts w:ascii="Calibri" w:hAnsi="Calibri" w:cs="Calibri"/>
          <w:color w:val="0070C0"/>
          <w:sz w:val="22"/>
          <w:szCs w:val="22"/>
        </w:rPr>
      </w:pPr>
      <w:r w:rsidRPr="00A37C74">
        <w:rPr>
          <w:rFonts w:ascii="Calibri" w:hAnsi="Calibri" w:cs="Calibri"/>
          <w:color w:val="0070C0"/>
          <w:sz w:val="22"/>
          <w:szCs w:val="22"/>
        </w:rPr>
        <w:t xml:space="preserve">Jednoznačně nebude narůstat počet výkonů ke stanovení </w:t>
      </w:r>
      <w:r w:rsidR="00372F35">
        <w:rPr>
          <w:rFonts w:ascii="Calibri" w:hAnsi="Calibri" w:cs="Calibri"/>
          <w:color w:val="0070C0"/>
          <w:sz w:val="22"/>
          <w:szCs w:val="22"/>
        </w:rPr>
        <w:t>hodnoty fekálního kalprotektinu ve stolici</w:t>
      </w:r>
      <w:r w:rsidRPr="00A37C74">
        <w:rPr>
          <w:rFonts w:ascii="Calibri" w:hAnsi="Calibri" w:cs="Calibri"/>
          <w:color w:val="0070C0"/>
          <w:sz w:val="22"/>
          <w:szCs w:val="22"/>
        </w:rPr>
        <w:t xml:space="preserve"> – v tomto směru jsou pacienti dle doporučení již dlouhodobě diagnostikováni. U poskytovatelů, kteří by si nový výkon nasmlouvali a potřebnou techniku si pořídili, dojde ke změně užívané metody, v</w:t>
      </w:r>
      <w:r w:rsidR="00372F35">
        <w:rPr>
          <w:rFonts w:ascii="Calibri" w:hAnsi="Calibri" w:cs="Calibri"/>
          <w:color w:val="0070C0"/>
          <w:sz w:val="22"/>
          <w:szCs w:val="22"/>
        </w:rPr>
        <w:t xml:space="preserve"> obou</w:t>
      </w:r>
      <w:r w:rsidRPr="00A37C74">
        <w:rPr>
          <w:rFonts w:ascii="Calibri" w:hAnsi="Calibri" w:cs="Calibri"/>
          <w:color w:val="0070C0"/>
          <w:sz w:val="22"/>
          <w:szCs w:val="22"/>
        </w:rPr>
        <w:t xml:space="preserve"> případech je navrhovaný výkon levnější než aktuálně používané alternativy. Dovolujeme si připojit porovnání s nejčastěji aplikovanými výkony:</w:t>
      </w:r>
    </w:p>
    <w:p w14:paraId="01166184" w14:textId="590FDCBB" w:rsidR="00D71FCA" w:rsidRDefault="004D2F24" w:rsidP="00D71FCA">
      <w:p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 xml:space="preserve">91573 </w:t>
      </w:r>
      <w:r w:rsidR="00B70E8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Standardní l</w:t>
      </w:r>
      <w:r w:rsidR="00D71FCA" w:rsidRPr="00A37C74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 xml:space="preserve">aboratorní vyšetření </w:t>
      </w:r>
      <w:r w:rsidR="00B70E8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kalprotektin</w:t>
      </w:r>
      <w:r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u</w:t>
      </w:r>
      <w:r w:rsidR="00D71FCA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ve stolici: 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83</w:t>
      </w:r>
      <w:r w:rsidR="00CE60C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1</w:t>
      </w:r>
      <w:r w:rsidR="00D71FCA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vs </w:t>
      </w:r>
      <w:r w:rsidR="00D71FCA" w:rsidRPr="00A37C74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="00D71FCA" w:rsidRPr="00A37C74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bodů, navíc odpadne nutnost další klinické návštěvy ke sdělení výsledku a stanovení dalšího postupu.  </w:t>
      </w:r>
    </w:p>
    <w:p w14:paraId="6929C212" w14:textId="5296FE24" w:rsidR="00D71FCA" w:rsidRPr="00287762" w:rsidRDefault="00423ED4" w:rsidP="00A9346F">
      <w:p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Stanovení kalpro</w:t>
      </w:r>
      <w:r w:rsidR="002613F9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tektinu v rámci výkonu </w:t>
      </w:r>
      <w:r w:rsidR="002613F9" w:rsidRPr="00D20373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15150 Dálková kontrola pacienta s</w:t>
      </w:r>
      <w:r w:rsidR="00D20373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 </w:t>
      </w:r>
      <w:r w:rsidR="002613F9" w:rsidRPr="00D20373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IBD</w:t>
      </w:r>
      <w:r w:rsidR="00D20373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 xml:space="preserve"> – </w:t>
      </w:r>
      <w:r w:rsidR="00D20373" w:rsidRPr="0028776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jen analytická část </w:t>
      </w:r>
      <w:r w:rsidR="0054518E" w:rsidRPr="0028776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má hodnotu 805 bodů oproti </w:t>
      </w:r>
      <w:r w:rsidR="0054518E" w:rsidRPr="00287762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="0054518E" w:rsidRPr="0028776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</w:t>
      </w:r>
      <w:r w:rsidR="0028776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m</w:t>
      </w:r>
      <w:r w:rsidR="0054518E" w:rsidRPr="0028776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nově navrho</w:t>
      </w:r>
      <w:r w:rsidR="00287762" w:rsidRPr="00287762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vaného výkonu</w:t>
      </w:r>
    </w:p>
    <w:p w14:paraId="2F67362D" w14:textId="77777777" w:rsidR="00A9346F" w:rsidRPr="00634258" w:rsidRDefault="00A9346F" w:rsidP="00A9346F">
      <w:pPr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0CA9F822" w14:textId="7F4812F4" w:rsidR="00A9346F" w:rsidRPr="00634258" w:rsidRDefault="00A9346F" w:rsidP="00A9346F">
      <w:pPr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  <w:r w:rsidRPr="00634258">
        <w:rPr>
          <w:rFonts w:ascii="Calibri" w:eastAsia="Times New Roman" w:hAnsi="Calibri" w:cs="Calibri"/>
          <w:color w:val="000000"/>
          <w:sz w:val="22"/>
          <w:szCs w:val="22"/>
          <w:lang w:eastAsia="cs-CZ"/>
        </w:rPr>
        <w:t>Připomínky SZP ČR</w:t>
      </w:r>
    </w:p>
    <w:p w14:paraId="16A0D059" w14:textId="77777777" w:rsidR="00A9346F" w:rsidRPr="00634258" w:rsidRDefault="00A9346F" w:rsidP="00A9346F">
      <w:pPr>
        <w:spacing w:after="0" w:line="240" w:lineRule="auto"/>
        <w:rPr>
          <w:rFonts w:ascii="Calibri" w:hAnsi="Calibri" w:cs="Calibri"/>
          <w:b/>
          <w:sz w:val="22"/>
          <w:szCs w:val="22"/>
        </w:rPr>
      </w:pPr>
      <w:r w:rsidRPr="00634258">
        <w:rPr>
          <w:rFonts w:ascii="Calibri" w:hAnsi="Calibri" w:cs="Calibri"/>
          <w:b/>
          <w:sz w:val="22"/>
          <w:szCs w:val="22"/>
        </w:rPr>
        <w:t xml:space="preserve">Připomínky: </w:t>
      </w:r>
    </w:p>
    <w:p w14:paraId="3265A6C6" w14:textId="77777777" w:rsidR="00A9346F" w:rsidRDefault="00A9346F" w:rsidP="00A9346F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>V současnosti je k dispozici výkon 91573 KVANTITATIVNÍ STANOVENÍ KALPROTEKTINU VE STOLICI – laboratorní výkon. Jaký je (kromě rychlosti) důvod pro zavedení POCT výkonu, který je i nákladnější? V klinických indikacích nehrozí žádné riziko z prodlení.</w:t>
      </w:r>
    </w:p>
    <w:p w14:paraId="3D00001F" w14:textId="77777777" w:rsidR="00287762" w:rsidRDefault="00287762" w:rsidP="00287762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97068B0" w14:textId="79DCF414" w:rsidR="00287762" w:rsidRPr="00612968" w:rsidRDefault="00287762" w:rsidP="00287762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Nově navrhovaný výkon je právě jedinečný a specifický flexibilitou, proveditelností v ambulanci gastroenterologa a okamžitým výsledkem.</w:t>
      </w:r>
      <w:r w:rsidR="0048438D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  <w:r w:rsidR="0048438D" w:rsidRPr="00C27F2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Nejedná se o medicínské nebezpečí z prodlení, nýbrž o šetření času lékaře i pacienta v případě, kdy je výsledek k dispozici ihned a není nutná další klinická návštěva ke sdělení výsledku a stanovení dalšího postupu.</w:t>
      </w: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Uvádíme porovnání s ostatními, Vámi zmiňovanými výkony a metodami:</w:t>
      </w:r>
    </w:p>
    <w:p w14:paraId="286D00A8" w14:textId="77777777" w:rsidR="00287762" w:rsidRPr="00612968" w:rsidRDefault="00287762" w:rsidP="00287762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Výkon 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91573</w:t>
      </w: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– povahou a přesností porovnatelný, nicméně vyžaduje transport vzorku do laboratoře a další nadbytečnou klinickou návštěvu k zhodnocení výsledku a stanovení dalšího postupu.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Po rekalkulaci nákladů dražší než nově navrhovaný výkon.</w:t>
      </w:r>
    </w:p>
    <w:p w14:paraId="78BEE2E7" w14:textId="77777777" w:rsidR="00287762" w:rsidRDefault="00287762" w:rsidP="00287762">
      <w:pPr>
        <w:pStyle w:val="Odstavecseseznamem"/>
        <w:spacing w:after="0" w:line="240" w:lineRule="auto"/>
        <w:ind w:left="240"/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Výkon 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15150</w:t>
      </w:r>
      <w:r w:rsidRPr="0061296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– 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málo pracovišti užívaný selfmonitoring pacienta v domácím prostředí.</w:t>
      </w:r>
    </w:p>
    <w:p w14:paraId="58B8826D" w14:textId="77777777" w:rsidR="00287762" w:rsidRPr="00287762" w:rsidRDefault="00287762" w:rsidP="00287762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0BBB580" w14:textId="77777777" w:rsidR="00A9346F" w:rsidRDefault="00A9346F" w:rsidP="00A9346F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>Je senzitivita a specificita obou metod srovnatelná?</w:t>
      </w:r>
    </w:p>
    <w:p w14:paraId="74315931" w14:textId="6AA60FEE" w:rsidR="0048438D" w:rsidRDefault="0048438D" w:rsidP="0048438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Spolehlivost POCT testu je dobře dokumentována v </w:t>
      </w:r>
      <w:r w:rsidRPr="00031DBC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literatuře (</w:t>
      </w:r>
      <w:r w:rsidRPr="00031DBC">
        <w:rPr>
          <w:rFonts w:ascii="Calibri" w:hAnsi="Calibri" w:cs="Calibri"/>
          <w:color w:val="0070C0"/>
          <w:sz w:val="22"/>
          <w:szCs w:val="22"/>
        </w:rPr>
        <w:t>Heida A, Knol M, Müller Kobold A, Bootsman J, Dijkstra G, van Rheenen PF. Agreement between home-based measurement of stool calprotectin and ELISA results for monitoring inflammatory bowel disease activity. Clin Gastroenterol Hepatol. 2017;15(11):1742–1749.e2. doi:10.1016/j.cgh.2017.06.007, Haisma SM, Galaurchi A, Almahwzi S, Balogun JAA, Jarbandhan S, Samsom JN, et al. Head-to-head comparison of three stool calprotectin tests for home use. PLoS One. 2019;14(4):e0214751. doi:10.1371/journal.pone.0214751, Podmanicky D, Heida A, et al. P374 Home or hospital-based analysis of stool calprotectin: assessing two methods for monitoring inflammatory bowel disease. J Crohns Colitis. 2017;11(Suppl 1):S268, National Institute for Health and Care Excellence (NICE). Point-of-care and home faecal calprotectin tests for monitoring treatment response in inflammatory bowel disease. Medtech innovation briefing MIB132. London: NICE; 2017, NIHR Community Healthcare MIC. Point-of-care calprotectin tests. Horizon Scanning Report. Newcastle upon Tyne: NIHR; 2023, El-Matary W, et al. Point-of-care and home fecal calprotectin tests in the management of inflammatory bowel disease (study summarised in NICE MIB132</w:t>
      </w:r>
      <w:r w:rsidRPr="00031DBC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),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data ke konkrétnímu diagnostickému prostředku použitému pro konstrukci výkonu a 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lastRenderedPageBreak/>
        <w:t xml:space="preserve">kalkulaci ceny připojujeme v příloze </w:t>
      </w:r>
      <w:r w:rsidR="00BA325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3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. Bodovou hodnotu a cenu výkonu se podařilo snížit oslovením více dodavatelů a snížením nabídkové ceny největšího dodavatele imnufluorescenčních POCT analyzátorů. Cenovou kalkulaci připojujeme – příloha </w:t>
      </w:r>
      <w:r w:rsidR="00BA3258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2</w:t>
      </w:r>
      <w:r w:rsidRPr="00DE0DB6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>.</w:t>
      </w:r>
      <w:r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</w:t>
      </w:r>
    </w:p>
    <w:p w14:paraId="6C03084F" w14:textId="21DBA85D" w:rsidR="0048438D" w:rsidRPr="0048438D" w:rsidRDefault="0048438D" w:rsidP="0048438D">
      <w:pPr>
        <w:spacing w:after="0" w:line="24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</w:p>
    <w:p w14:paraId="1B230F84" w14:textId="7D7B2CC5" w:rsidR="0048438D" w:rsidRDefault="00A9346F" w:rsidP="0048438D">
      <w:pPr>
        <w:pStyle w:val="Odstavecseseznamem"/>
        <w:numPr>
          <w:ilvl w:val="0"/>
          <w:numId w:val="2"/>
        </w:numPr>
        <w:spacing w:after="0" w:line="240" w:lineRule="auto"/>
        <w:contextualSpacing w:val="0"/>
        <w:rPr>
          <w:rFonts w:ascii="Calibri" w:hAnsi="Calibri" w:cs="Calibri"/>
          <w:sz w:val="22"/>
          <w:szCs w:val="22"/>
        </w:rPr>
      </w:pPr>
      <w:r w:rsidRPr="00634258">
        <w:rPr>
          <w:rFonts w:ascii="Calibri" w:hAnsi="Calibri" w:cs="Calibri"/>
          <w:sz w:val="22"/>
          <w:szCs w:val="22"/>
        </w:rPr>
        <w:t xml:space="preserve">Žádáme o doložení ekonomického dopadu. </w:t>
      </w:r>
    </w:p>
    <w:p w14:paraId="314BC5B2" w14:textId="77777777" w:rsidR="001B004B" w:rsidRPr="001B004B" w:rsidRDefault="001B004B" w:rsidP="001B004B">
      <w:pPr>
        <w:ind w:left="360"/>
        <w:rPr>
          <w:rFonts w:ascii="Calibri" w:hAnsi="Calibri" w:cs="Calibri"/>
          <w:color w:val="0070C0"/>
          <w:sz w:val="22"/>
          <w:szCs w:val="22"/>
        </w:rPr>
      </w:pPr>
      <w:r w:rsidRPr="001B004B">
        <w:rPr>
          <w:rFonts w:ascii="Calibri" w:hAnsi="Calibri" w:cs="Calibri"/>
          <w:color w:val="0070C0"/>
          <w:sz w:val="22"/>
          <w:szCs w:val="22"/>
        </w:rPr>
        <w:t>Jednoznačně nebude narůstat počet výkonů ke stanovení hodnoty fekálního kalprotektinu ve stolici – v tomto směru jsou pacienti dle doporučení již dlouhodobě diagnostikováni. U poskytovatelů, kteří by si nový výkon nasmlouvali a potřebnou techniku si pořídili, dojde ke změně užívané metody, v obou případech je navrhovaný výkon levnější než aktuálně používané alternativy. Dovolujeme si připojit porovnání s nejčastěji aplikovanými výkony:</w:t>
      </w:r>
    </w:p>
    <w:p w14:paraId="42EBF928" w14:textId="77777777" w:rsidR="001B004B" w:rsidRPr="001B004B" w:rsidRDefault="001B004B" w:rsidP="001B004B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1B004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91573 Standardní laboratorní vyšetření kalprotektinu</w:t>
      </w:r>
      <w:r w:rsidRPr="001B004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ve stolici: 831 vs </w:t>
      </w:r>
      <w:r w:rsidRPr="001B004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Pr="001B004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bodů, navíc odpadne nutnost další klinické návštěvy ke sdělení výsledku a stanovení dalšího postupu.  </w:t>
      </w:r>
    </w:p>
    <w:p w14:paraId="71C255E9" w14:textId="77777777" w:rsidR="001B004B" w:rsidRPr="001B004B" w:rsidRDefault="001B004B" w:rsidP="001B004B">
      <w:pPr>
        <w:pStyle w:val="Odstavecseseznamem"/>
        <w:numPr>
          <w:ilvl w:val="0"/>
          <w:numId w:val="2"/>
        </w:numPr>
        <w:rPr>
          <w:rFonts w:ascii="Calibri" w:eastAsia="Times New Roman" w:hAnsi="Calibri" w:cs="Calibri"/>
          <w:color w:val="0070C0"/>
          <w:sz w:val="22"/>
          <w:szCs w:val="22"/>
          <w:lang w:eastAsia="cs-CZ"/>
        </w:rPr>
      </w:pPr>
      <w:r w:rsidRPr="001B004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Stanovení kalprotektinu v rámci výkonu </w:t>
      </w:r>
      <w:r w:rsidRPr="001B004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 xml:space="preserve">15150 Dálková kontrola pacienta s IBD – </w:t>
      </w:r>
      <w:r w:rsidRPr="001B004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jen analytická část má hodnotu 805 bodů oproti </w:t>
      </w:r>
      <w:r w:rsidRPr="001B004B">
        <w:rPr>
          <w:rFonts w:ascii="Calibri" w:eastAsia="Times New Roman" w:hAnsi="Calibri" w:cs="Calibri"/>
          <w:b/>
          <w:bCs/>
          <w:color w:val="0070C0"/>
          <w:sz w:val="22"/>
          <w:szCs w:val="22"/>
          <w:lang w:eastAsia="cs-CZ"/>
        </w:rPr>
        <w:t>708</w:t>
      </w:r>
      <w:r w:rsidRPr="001B004B">
        <w:rPr>
          <w:rFonts w:ascii="Calibri" w:eastAsia="Times New Roman" w:hAnsi="Calibri" w:cs="Calibri"/>
          <w:color w:val="0070C0"/>
          <w:sz w:val="22"/>
          <w:szCs w:val="22"/>
          <w:lang w:eastAsia="cs-CZ"/>
        </w:rPr>
        <w:t xml:space="preserve"> bodům nově navrhovaného výkonu</w:t>
      </w:r>
    </w:p>
    <w:p w14:paraId="38CFA0C1" w14:textId="77777777" w:rsidR="001B004B" w:rsidRPr="001B004B" w:rsidRDefault="001B004B" w:rsidP="001B004B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C07AB21" w14:textId="77777777" w:rsidR="00A9346F" w:rsidRPr="00634258" w:rsidRDefault="00A9346F" w:rsidP="00A9346F">
      <w:pPr>
        <w:rPr>
          <w:rFonts w:ascii="Calibri" w:eastAsia="Times New Roman" w:hAnsi="Calibri" w:cs="Calibri"/>
          <w:color w:val="000000"/>
          <w:sz w:val="22"/>
          <w:szCs w:val="22"/>
          <w:lang w:eastAsia="cs-CZ"/>
        </w:rPr>
      </w:pPr>
    </w:p>
    <w:p w14:paraId="6B1B1A74" w14:textId="77777777" w:rsidR="00A9346F" w:rsidRPr="00634258" w:rsidRDefault="00A9346F" w:rsidP="00A9346F">
      <w:pPr>
        <w:rPr>
          <w:rFonts w:ascii="Calibri" w:hAnsi="Calibri" w:cs="Calibri"/>
          <w:sz w:val="22"/>
          <w:szCs w:val="22"/>
        </w:rPr>
      </w:pPr>
    </w:p>
    <w:p w14:paraId="1332FA22" w14:textId="77777777" w:rsidR="00A9346F" w:rsidRPr="00634258" w:rsidRDefault="00A9346F">
      <w:pPr>
        <w:rPr>
          <w:rFonts w:ascii="Calibri" w:hAnsi="Calibri" w:cs="Calibri"/>
          <w:sz w:val="22"/>
          <w:szCs w:val="22"/>
        </w:rPr>
      </w:pPr>
    </w:p>
    <w:sectPr w:rsidR="00A9346F" w:rsidRPr="00634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31E49"/>
    <w:multiLevelType w:val="hybridMultilevel"/>
    <w:tmpl w:val="9C340684"/>
    <w:lvl w:ilvl="0" w:tplc="AE2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934432">
    <w:abstractNumId w:val="1"/>
  </w:num>
  <w:num w:numId="2" w16cid:durableId="196353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6F"/>
    <w:rsid w:val="00014B78"/>
    <w:rsid w:val="00031DBC"/>
    <w:rsid w:val="000558D6"/>
    <w:rsid w:val="000C3E2F"/>
    <w:rsid w:val="00121210"/>
    <w:rsid w:val="00123C61"/>
    <w:rsid w:val="00131ECE"/>
    <w:rsid w:val="001461F2"/>
    <w:rsid w:val="00156DF6"/>
    <w:rsid w:val="001A63DB"/>
    <w:rsid w:val="001B004B"/>
    <w:rsid w:val="002055EA"/>
    <w:rsid w:val="00235E95"/>
    <w:rsid w:val="00250A66"/>
    <w:rsid w:val="002536C4"/>
    <w:rsid w:val="002613F9"/>
    <w:rsid w:val="00264AAD"/>
    <w:rsid w:val="00277E60"/>
    <w:rsid w:val="00287762"/>
    <w:rsid w:val="002D5E9B"/>
    <w:rsid w:val="00372F35"/>
    <w:rsid w:val="00395D42"/>
    <w:rsid w:val="003B020C"/>
    <w:rsid w:val="0042356F"/>
    <w:rsid w:val="00423ED4"/>
    <w:rsid w:val="004369D8"/>
    <w:rsid w:val="00471079"/>
    <w:rsid w:val="00477719"/>
    <w:rsid w:val="0048438D"/>
    <w:rsid w:val="00490FC8"/>
    <w:rsid w:val="004D0EE7"/>
    <w:rsid w:val="004D2F24"/>
    <w:rsid w:val="004E68F3"/>
    <w:rsid w:val="004F0F5B"/>
    <w:rsid w:val="0054518E"/>
    <w:rsid w:val="00545588"/>
    <w:rsid w:val="005579BC"/>
    <w:rsid w:val="005A6A6C"/>
    <w:rsid w:val="005B6F6A"/>
    <w:rsid w:val="00612968"/>
    <w:rsid w:val="00634258"/>
    <w:rsid w:val="006715D4"/>
    <w:rsid w:val="006D54F1"/>
    <w:rsid w:val="007358AC"/>
    <w:rsid w:val="0075407C"/>
    <w:rsid w:val="007945E9"/>
    <w:rsid w:val="007D1C14"/>
    <w:rsid w:val="007E5BCA"/>
    <w:rsid w:val="00820B23"/>
    <w:rsid w:val="00837E2D"/>
    <w:rsid w:val="008503BC"/>
    <w:rsid w:val="00855056"/>
    <w:rsid w:val="00870035"/>
    <w:rsid w:val="00881193"/>
    <w:rsid w:val="00883ADF"/>
    <w:rsid w:val="008B0A8B"/>
    <w:rsid w:val="008B7ABA"/>
    <w:rsid w:val="008E7541"/>
    <w:rsid w:val="008F5714"/>
    <w:rsid w:val="00915D2A"/>
    <w:rsid w:val="00941A93"/>
    <w:rsid w:val="009A1820"/>
    <w:rsid w:val="009B4ADA"/>
    <w:rsid w:val="009B66EC"/>
    <w:rsid w:val="00A135B2"/>
    <w:rsid w:val="00A16EF9"/>
    <w:rsid w:val="00A274A9"/>
    <w:rsid w:val="00A37C74"/>
    <w:rsid w:val="00A62589"/>
    <w:rsid w:val="00A80E2E"/>
    <w:rsid w:val="00A9346F"/>
    <w:rsid w:val="00AA2CCE"/>
    <w:rsid w:val="00AB161C"/>
    <w:rsid w:val="00AC10FF"/>
    <w:rsid w:val="00AC2E23"/>
    <w:rsid w:val="00AC3F11"/>
    <w:rsid w:val="00AC72DD"/>
    <w:rsid w:val="00B0340F"/>
    <w:rsid w:val="00B4249F"/>
    <w:rsid w:val="00B6294D"/>
    <w:rsid w:val="00B70E8B"/>
    <w:rsid w:val="00B85992"/>
    <w:rsid w:val="00B94FDF"/>
    <w:rsid w:val="00B96083"/>
    <w:rsid w:val="00BA0AD0"/>
    <w:rsid w:val="00BA3258"/>
    <w:rsid w:val="00BC0388"/>
    <w:rsid w:val="00BE45F7"/>
    <w:rsid w:val="00C241DF"/>
    <w:rsid w:val="00C25AF1"/>
    <w:rsid w:val="00C27F2B"/>
    <w:rsid w:val="00C31D8F"/>
    <w:rsid w:val="00C67DEC"/>
    <w:rsid w:val="00CB56AA"/>
    <w:rsid w:val="00CD19E3"/>
    <w:rsid w:val="00CE60C6"/>
    <w:rsid w:val="00CE6313"/>
    <w:rsid w:val="00D002BD"/>
    <w:rsid w:val="00D02BFB"/>
    <w:rsid w:val="00D046E7"/>
    <w:rsid w:val="00D20373"/>
    <w:rsid w:val="00D20DB1"/>
    <w:rsid w:val="00D45665"/>
    <w:rsid w:val="00D6719B"/>
    <w:rsid w:val="00D71FCA"/>
    <w:rsid w:val="00DB3926"/>
    <w:rsid w:val="00DC5E7A"/>
    <w:rsid w:val="00DD10B0"/>
    <w:rsid w:val="00DD6E0C"/>
    <w:rsid w:val="00DE0DB6"/>
    <w:rsid w:val="00E23489"/>
    <w:rsid w:val="00E43C6B"/>
    <w:rsid w:val="00E45B68"/>
    <w:rsid w:val="00EC03BB"/>
    <w:rsid w:val="00EC5DE0"/>
    <w:rsid w:val="00EC7B2C"/>
    <w:rsid w:val="00EF52DC"/>
    <w:rsid w:val="00F3163F"/>
    <w:rsid w:val="00FC6407"/>
    <w:rsid w:val="00FE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74D1"/>
  <w15:chartTrackingRefBased/>
  <w15:docId w15:val="{DBFA62BF-DAB9-442A-9A2B-A9BD31C7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934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34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34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34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34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34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34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34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34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34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34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34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346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346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346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346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346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346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34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934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34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934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34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9346F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A9346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9346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34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346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346F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A9346F"/>
  </w:style>
  <w:style w:type="character" w:styleId="Hypertextovodkaz">
    <w:name w:val="Hyperlink"/>
    <w:basedOn w:val="Standardnpsmoodstavce"/>
    <w:uiPriority w:val="99"/>
    <w:unhideWhenUsed/>
    <w:rsid w:val="00A9346F"/>
    <w:rPr>
      <w:color w:val="467886" w:themeColor="hyperlink"/>
      <w:u w:val="single"/>
    </w:rPr>
  </w:style>
  <w:style w:type="table" w:styleId="Mkatabulky">
    <w:name w:val="Table Grid"/>
    <w:basedOn w:val="Normlntabulka"/>
    <w:uiPriority w:val="59"/>
    <w:rsid w:val="00A9346F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v.mzcr.cz/Vykon/Detail/9148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zv.mzcr.cz/Vykon/Detail/817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zv.mzcr.cz/Vykon/Detail/15143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zv.mzcr.cz/Vykon/Detail/91483/" TargetMode="External"/><Relationship Id="rId10" Type="http://schemas.openxmlformats.org/officeDocument/2006/relationships/hyperlink" Target="https://szv.mzcr.cz/Vykon/Detail/1515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zv.mzcr.cz/Vykon/Detail/91573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2303</Words>
  <Characters>14581</Characters>
  <Application>Microsoft Office Word</Application>
  <DocSecurity>0</DocSecurity>
  <Lines>247</Lines>
  <Paragraphs>72</Paragraphs>
  <ScaleCrop>false</ScaleCrop>
  <Company/>
  <LinksUpToDate>false</LinksUpToDate>
  <CharactersWithSpaces>16812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Luděk Hrdlička | ResTrial s.r.o.</dc:creator>
  <cp:keywords/>
  <dc:description/>
  <cp:lastModifiedBy>Luděk Hrdlička | ResTrial s.r.o.</cp:lastModifiedBy>
  <cp:revision>117</cp:revision>
  <dcterms:created xsi:type="dcterms:W3CDTF">2026-01-30T09:26:00Z</dcterms:created>
  <dcterms:modified xsi:type="dcterms:W3CDTF">2026-02-02T15:14:00Z</dcterms:modified>
</cp:coreProperties>
</file>